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仿宋_GB2312" w:hAnsi="仿宋_GB2312" w:eastAsia="仿宋_GB2312" w:cs="仿宋_GB2312"/>
          <w:sz w:val="32"/>
          <w:szCs w:val="32"/>
          <w:lang w:val="en-US" w:eastAsia="zh-CN"/>
        </w:rPr>
      </w:pPr>
    </w:p>
    <w:p>
      <w:pPr>
        <w:pStyle w:val="2"/>
        <w:rPr>
          <w:rFonts w:hint="eastAsia" w:ascii="仿宋_GB2312" w:hAnsi="仿宋_GB2312" w:eastAsia="仿宋_GB2312" w:cs="仿宋_GB2312"/>
          <w:sz w:val="32"/>
          <w:szCs w:val="32"/>
          <w:lang w:val="en-US" w:eastAsia="zh-CN"/>
        </w:rPr>
      </w:pPr>
    </w:p>
    <w:p>
      <w:pPr>
        <w:pStyle w:val="2"/>
        <w:rPr>
          <w:rFonts w:hint="eastAsia" w:ascii="仿宋_GB2312" w:hAnsi="仿宋_GB2312" w:eastAsia="仿宋_GB2312" w:cs="仿宋_GB2312"/>
          <w:sz w:val="32"/>
          <w:szCs w:val="32"/>
          <w:lang w:val="en-US" w:eastAsia="zh-CN"/>
        </w:rPr>
      </w:pPr>
    </w:p>
    <w:p>
      <w:pPr>
        <w:pStyle w:val="2"/>
        <w:rPr>
          <w:rFonts w:hint="eastAsia" w:ascii="仿宋_GB2312" w:hAnsi="仿宋_GB2312" w:eastAsia="仿宋_GB2312" w:cs="仿宋_GB2312"/>
          <w:sz w:val="32"/>
          <w:szCs w:val="32"/>
          <w:lang w:val="en-US" w:eastAsia="zh-CN"/>
        </w:rPr>
      </w:pPr>
    </w:p>
    <w:p>
      <w:pPr>
        <w:pStyle w:val="2"/>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池长三角办〔2021〕6号</w:t>
      </w:r>
    </w:p>
    <w:p>
      <w:pPr>
        <w:pStyle w:val="3"/>
        <w:rPr>
          <w:rFonts w:hint="eastAsia" w:ascii="仿宋_GB2312" w:hAnsi="仿宋_GB2312" w:eastAsia="仿宋_GB2312" w:cs="仿宋_GB2312"/>
          <w:sz w:val="32"/>
          <w:szCs w:val="32"/>
          <w:lang w:val="en-US" w:eastAsia="zh-CN"/>
        </w:rPr>
      </w:pPr>
    </w:p>
    <w:p>
      <w:pPr>
        <w:rPr>
          <w:rFonts w:hint="eastAsia"/>
          <w:lang w:val="en-US" w:eastAsia="zh-CN"/>
        </w:rPr>
      </w:pPr>
    </w:p>
    <w:p>
      <w:pPr>
        <w:spacing w:line="600" w:lineRule="exact"/>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sz w:val="44"/>
          <w:szCs w:val="44"/>
          <w:lang w:val="en-US" w:eastAsia="zh-CN"/>
        </w:rPr>
        <w:t>关于印发</w:t>
      </w:r>
      <w:r>
        <w:rPr>
          <w:rFonts w:hint="eastAsia" w:ascii="方正小标宋简体" w:hAnsi="方正小标宋简体" w:eastAsia="方正小标宋简体" w:cs="方正小标宋简体"/>
          <w:color w:val="000000"/>
          <w:sz w:val="44"/>
          <w:szCs w:val="44"/>
        </w:rPr>
        <w:t>贯彻落</w:t>
      </w:r>
      <w:r>
        <w:rPr>
          <w:rFonts w:hint="eastAsia" w:ascii="方正小标宋简体" w:hAnsi="方正小标宋简体" w:eastAsia="方正小标宋简体" w:cs="方正小标宋简体"/>
          <w:color w:val="auto"/>
          <w:sz w:val="44"/>
          <w:szCs w:val="44"/>
        </w:rPr>
        <w:t>实</w:t>
      </w:r>
      <w:r>
        <w:rPr>
          <w:rFonts w:hint="eastAsia" w:ascii="方正小标宋简体" w:hAnsi="方正小标宋简体" w:eastAsia="方正小标宋简体" w:cs="方正小标宋简体"/>
          <w:color w:val="000000"/>
          <w:sz w:val="44"/>
          <w:szCs w:val="44"/>
        </w:rPr>
        <w:t>支持省际产业合作园区</w:t>
      </w:r>
    </w:p>
    <w:p>
      <w:pPr>
        <w:spacing w:line="600" w:lineRule="exact"/>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color w:val="000000"/>
          <w:sz w:val="44"/>
          <w:szCs w:val="44"/>
        </w:rPr>
        <w:t>建设若干政策措施实施方案</w:t>
      </w:r>
      <w:r>
        <w:rPr>
          <w:rFonts w:hint="eastAsia" w:ascii="方正小标宋简体" w:hAnsi="方正小标宋简体" w:eastAsia="方正小标宋简体" w:cs="方正小标宋简体"/>
          <w:sz w:val="44"/>
          <w:szCs w:val="44"/>
          <w:lang w:val="en-US" w:eastAsia="zh-CN"/>
        </w:rPr>
        <w:t>的通知</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区人民政府，江南新兴产业集中区、开发区管委会，市有关</w:t>
      </w:r>
      <w:r>
        <w:rPr>
          <w:rFonts w:hint="eastAsia" w:ascii="仿宋_GB2312" w:hAnsi="仿宋_GB2312" w:eastAsia="仿宋_GB2312" w:cs="仿宋_GB2312"/>
          <w:sz w:val="32"/>
          <w:szCs w:val="32"/>
          <w:lang w:eastAsia="zh-CN"/>
        </w:rPr>
        <w:t>部门</w:t>
      </w:r>
      <w:r>
        <w:rPr>
          <w:rFonts w:hint="eastAsia" w:ascii="仿宋_GB2312" w:hAnsi="仿宋_GB2312" w:eastAsia="仿宋_GB2312" w:cs="仿宋_GB2312"/>
          <w:sz w:val="32"/>
          <w:szCs w:val="32"/>
        </w:rPr>
        <w:t>：</w:t>
      </w:r>
    </w:p>
    <w:p>
      <w:pPr>
        <w:keepNext w:val="0"/>
        <w:keepLines w:val="0"/>
        <w:pageBreakBefore w:val="0"/>
        <w:widowControl w:val="0"/>
        <w:kinsoku/>
        <w:overflowPunct/>
        <w:topLinePunct w:val="0"/>
        <w:autoSpaceDE/>
        <w:autoSpaceDN/>
        <w:bidi w:val="0"/>
        <w:adjustRightInd/>
        <w:snapToGrid/>
        <w:spacing w:line="600" w:lineRule="exact"/>
        <w:ind w:firstLine="616" w:firstLineChars="200"/>
        <w:jc w:val="both"/>
        <w:textAlignment w:val="auto"/>
        <w:outlineLvl w:val="9"/>
        <w:rPr>
          <w:rFonts w:hint="eastAsia" w:ascii="仿宋_GB2312" w:hAnsi="仿宋_GB2312" w:eastAsia="仿宋_GB2312" w:cs="仿宋_GB2312"/>
          <w:spacing w:val="-6"/>
          <w:sz w:val="32"/>
          <w:szCs w:val="32"/>
          <w:lang w:val="en-US" w:eastAsia="zh-CN"/>
        </w:rPr>
      </w:pPr>
      <w:r>
        <w:rPr>
          <w:rFonts w:hint="eastAsia" w:ascii="仿宋_GB2312" w:hAnsi="仿宋_GB2312" w:eastAsia="仿宋_GB2312" w:cs="仿宋_GB2312"/>
          <w:spacing w:val="-6"/>
          <w:sz w:val="32"/>
          <w:szCs w:val="32"/>
          <w:lang w:val="en-US" w:eastAsia="zh-CN"/>
        </w:rPr>
        <w:t>《</w:t>
      </w:r>
      <w:r>
        <w:rPr>
          <w:rFonts w:hint="eastAsia" w:ascii="仿宋_GB2312" w:hAnsi="仿宋_GB2312" w:eastAsia="仿宋_GB2312" w:cs="仿宋_GB2312"/>
          <w:color w:val="000000"/>
          <w:spacing w:val="-6"/>
          <w:sz w:val="32"/>
          <w:szCs w:val="32"/>
        </w:rPr>
        <w:t>贯彻落实支持省际产业合作园区建设若干政策措施实施方案</w:t>
      </w:r>
      <w:r>
        <w:rPr>
          <w:rFonts w:hint="eastAsia" w:ascii="仿宋_GB2312" w:hAnsi="仿宋_GB2312" w:eastAsia="仿宋_GB2312" w:cs="仿宋_GB2312"/>
          <w:spacing w:val="-6"/>
          <w:sz w:val="32"/>
          <w:szCs w:val="32"/>
          <w:lang w:val="en-US" w:eastAsia="zh-CN"/>
        </w:rPr>
        <w:t>》业经市委、市政府同意，现印发给你们，请认真贯彻落实。</w:t>
      </w:r>
    </w:p>
    <w:p>
      <w:pPr>
        <w:pStyle w:val="2"/>
        <w:rPr>
          <w:rFonts w:hint="eastAsia" w:ascii="仿宋_GB2312" w:hAnsi="仿宋_GB2312" w:eastAsia="仿宋_GB2312" w:cs="仿宋_GB2312"/>
          <w:spacing w:val="-6"/>
          <w:sz w:val="32"/>
          <w:szCs w:val="32"/>
          <w:lang w:val="en-US" w:eastAsia="zh-CN"/>
        </w:rPr>
      </w:pPr>
    </w:p>
    <w:p>
      <w:pPr>
        <w:keepNext w:val="0"/>
        <w:keepLines w:val="0"/>
        <w:widowControl/>
        <w:suppressLineNumbers w:val="0"/>
        <w:ind w:firstLine="1600" w:firstLineChars="500"/>
        <w:jc w:val="left"/>
      </w:pPr>
      <w:r>
        <w:rPr>
          <w:rFonts w:ascii="仿宋_GB2312" w:hAnsi="宋体" w:eastAsia="仿宋_GB2312" w:cs="仿宋_GB2312"/>
          <w:i w:val="0"/>
          <w:caps w:val="0"/>
          <w:color w:val="000000"/>
          <w:spacing w:val="0"/>
          <w:kern w:val="0"/>
          <w:sz w:val="32"/>
          <w:szCs w:val="32"/>
          <w:lang w:val="en-US" w:eastAsia="zh-CN" w:bidi="ar"/>
        </w:rPr>
        <w:t>池州市推动长三角区域一体化发展领导小组办公室</w:t>
      </w:r>
    </w:p>
    <w:p>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jc w:val="center"/>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bookmarkStart w:id="0" w:name="_GoBack"/>
      <w:bookmarkEnd w:id="0"/>
      <w:r>
        <w:rPr>
          <w:rFonts w:hint="eastAsia" w:ascii="仿宋_GB2312" w:hAnsi="仿宋_GB2312" w:eastAsia="仿宋_GB2312" w:cs="仿宋_GB2312"/>
          <w:sz w:val="32"/>
          <w:szCs w:val="32"/>
          <w:lang w:val="en-US" w:eastAsia="zh-CN"/>
        </w:rPr>
        <w:t xml:space="preserve">2021年8月30日       </w:t>
      </w:r>
    </w:p>
    <w:p>
      <w:pPr>
        <w:keepNext w:val="0"/>
        <w:keepLines w:val="0"/>
        <w:pageBreakBefore w:val="0"/>
        <w:widowControl w:val="0"/>
        <w:kinsoku/>
        <w:overflowPunct/>
        <w:topLinePunct w:val="0"/>
        <w:autoSpaceDE/>
        <w:autoSpaceDN/>
        <w:bidi w:val="0"/>
        <w:adjustRightInd/>
        <w:snapToGrid/>
        <w:spacing w:line="600" w:lineRule="exact"/>
        <w:jc w:val="center"/>
        <w:textAlignment w:val="auto"/>
        <w:outlineLvl w:val="9"/>
        <w:rPr>
          <w:rFonts w:hint="eastAsia" w:ascii="方正小标宋简体" w:hAnsi="方正小标宋简体" w:eastAsia="方正小标宋简体" w:cs="方正小标宋简体"/>
          <w:sz w:val="32"/>
          <w:szCs w:val="32"/>
        </w:rPr>
      </w:pPr>
    </w:p>
    <w:p>
      <w:pPr>
        <w:pStyle w:val="2"/>
        <w:ind w:left="0" w:leftChars="0" w:firstLine="0" w:firstLineChars="0"/>
        <w:rPr>
          <w:rStyle w:val="7"/>
          <w:rFonts w:ascii="仿宋_GB2312" w:hAnsi="仿宋_GB2312" w:eastAsia="仿宋_GB2312" w:cs="仿宋_GB2312"/>
          <w:color w:val="000000"/>
          <w:sz w:val="32"/>
          <w:szCs w:val="32"/>
        </w:rPr>
      </w:pPr>
    </w:p>
    <w:p>
      <w:pPr>
        <w:spacing w:line="600" w:lineRule="exact"/>
        <w:jc w:val="center"/>
        <w:rPr>
          <w:rFonts w:hint="eastAsia" w:ascii="方正小标宋简体" w:hAnsi="方正小标宋简体" w:eastAsia="方正小标宋简体" w:cs="方正小标宋简体"/>
          <w:color w:val="000000"/>
          <w:sz w:val="44"/>
          <w:szCs w:val="44"/>
        </w:rPr>
      </w:pPr>
    </w:p>
    <w:p>
      <w:pPr>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贯彻落实支持省际产业合作园区建设</w:t>
      </w:r>
    </w:p>
    <w:p>
      <w:pPr>
        <w:spacing w:line="600" w:lineRule="exact"/>
        <w:jc w:val="center"/>
        <w:rPr>
          <w:rFonts w:ascii="仿宋_GB2312" w:hAnsi="仿宋_GB2312" w:eastAsia="仿宋_GB2312" w:cs="仿宋_GB2312"/>
          <w:color w:val="000000"/>
          <w:sz w:val="32"/>
          <w:szCs w:val="32"/>
        </w:rPr>
      </w:pPr>
      <w:r>
        <w:rPr>
          <w:rFonts w:hint="eastAsia" w:ascii="方正小标宋简体" w:hAnsi="方正小标宋简体" w:eastAsia="方正小标宋简体" w:cs="方正小标宋简体"/>
          <w:color w:val="000000"/>
          <w:sz w:val="44"/>
          <w:szCs w:val="44"/>
        </w:rPr>
        <w:t>若干政策措施实施方案</w:t>
      </w:r>
    </w:p>
    <w:p>
      <w:pPr>
        <w:pStyle w:val="2"/>
        <w:keepNext w:val="0"/>
        <w:keepLines w:val="0"/>
        <w:pageBreakBefore w:val="0"/>
        <w:widowControl w:val="0"/>
        <w:kinsoku/>
        <w:wordWrap/>
        <w:overflowPunct/>
        <w:topLinePunct w:val="0"/>
        <w:autoSpaceDE/>
        <w:autoSpaceDN/>
        <w:bidi w:val="0"/>
        <w:adjustRightInd/>
        <w:snapToGrid/>
        <w:spacing w:after="0" w:afterLines="0" w:line="600" w:lineRule="exact"/>
        <w:textAlignment w:val="auto"/>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为认真落实支持省际产业合作园区建设若干政策措施，加强市级层面政策措施配套</w:t>
      </w:r>
      <w:r>
        <w:rPr>
          <w:rFonts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rPr>
        <w:t>推动我市省际产业合作园区和开发区高质量发展</w:t>
      </w:r>
      <w:r>
        <w:rPr>
          <w:rFonts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rPr>
        <w:t>制定本实施方案。</w:t>
      </w:r>
    </w:p>
    <w:p>
      <w:pPr>
        <w:pStyle w:val="2"/>
        <w:keepNext w:val="0"/>
        <w:keepLines w:val="0"/>
        <w:pageBreakBefore w:val="0"/>
        <w:widowControl w:val="0"/>
        <w:kinsoku/>
        <w:wordWrap/>
        <w:overflowPunct/>
        <w:topLinePunct w:val="0"/>
        <w:autoSpaceDE/>
        <w:autoSpaceDN/>
        <w:bidi w:val="0"/>
        <w:adjustRightInd/>
        <w:snapToGrid/>
        <w:spacing w:after="0" w:afterLines="0" w:line="600" w:lineRule="exact"/>
        <w:ind w:left="640" w:leftChars="0"/>
        <w:textAlignment w:val="auto"/>
        <w:rPr>
          <w:rFonts w:ascii="黑体" w:hAnsi="黑体" w:eastAsia="黑体" w:cs="黑体"/>
          <w:color w:val="000000"/>
          <w:sz w:val="32"/>
          <w:szCs w:val="32"/>
        </w:rPr>
      </w:pPr>
      <w:r>
        <w:rPr>
          <w:rFonts w:hint="eastAsia" w:ascii="黑体" w:hAnsi="黑体" w:eastAsia="黑体" w:cs="黑体"/>
          <w:color w:val="000000"/>
          <w:sz w:val="32"/>
          <w:szCs w:val="32"/>
        </w:rPr>
        <w:t>一、目标要求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学习贯彻省际产业合作园区建设若干政策措施，对标支持方向和重点，加大政策争取，用足用好省级政策，到2021年底，江南新兴产业集中区轻合金材料产业规模突破50亿元，与沪苏浙园区合作共建迈出实质性步伐，引进八大新兴产业亿元以上项目10个以上；6个省级以上开发区主导产业集聚水平进一步提升，规上工业总产值比2019年增长</w:t>
      </w:r>
      <w:r>
        <w:rPr>
          <w:rFonts w:hint="eastAsia" w:ascii="仿宋_GB2312" w:hAnsi="仿宋_GB2312" w:eastAsia="仿宋_GB2312" w:cs="仿宋_GB2312"/>
          <w:sz w:val="32"/>
          <w:szCs w:val="32"/>
        </w:rPr>
        <w:t>42%以上，战略性新兴产业产值占规上工业产值比重提高2.5个百分点，</w:t>
      </w:r>
      <w:r>
        <w:rPr>
          <w:rFonts w:hint="eastAsia" w:ascii="仿宋_GB2312" w:hAnsi="仿宋_GB2312" w:eastAsia="仿宋_GB2312" w:cs="仿宋_GB2312"/>
          <w:color w:val="000000"/>
          <w:sz w:val="32"/>
          <w:szCs w:val="32"/>
        </w:rPr>
        <w:t>市经开区省级半导体基地产值突破100亿元，高新区省级绿色产业示范基地建设取得明显成效，2-3个开发区与沪苏浙园区合作共建迈出实质性步伐。到2025年，我市省际产业合作园区</w:t>
      </w:r>
      <w:r>
        <w:rPr>
          <w:rFonts w:hint="eastAsia" w:ascii="仿宋_GB2312" w:hAnsi="仿宋_GB2312" w:eastAsia="仿宋_GB2312" w:cs="仿宋_GB2312"/>
          <w:sz w:val="32"/>
          <w:szCs w:val="32"/>
        </w:rPr>
        <w:t>在新产业、新模式、新业态、新基建、新机制上取得突破，承载力、创新力、影响力大幅提升，成为东部产业新城和县域经济的重要支撑。</w:t>
      </w:r>
    </w:p>
    <w:p>
      <w:pPr>
        <w:pStyle w:val="2"/>
        <w:keepNext w:val="0"/>
        <w:keepLines w:val="0"/>
        <w:pageBreakBefore w:val="0"/>
        <w:widowControl w:val="0"/>
        <w:kinsoku/>
        <w:wordWrap/>
        <w:overflowPunct/>
        <w:topLinePunct w:val="0"/>
        <w:autoSpaceDE/>
        <w:autoSpaceDN/>
        <w:bidi w:val="0"/>
        <w:adjustRightInd/>
        <w:snapToGrid/>
        <w:spacing w:after="0" w:afterLines="0" w:line="600" w:lineRule="exact"/>
        <w:ind w:left="640" w:leftChars="0"/>
        <w:textAlignment w:val="auto"/>
        <w:rPr>
          <w:rFonts w:ascii="黑体" w:hAnsi="黑体" w:eastAsia="黑体" w:cs="黑体"/>
          <w:color w:val="000000"/>
          <w:sz w:val="32"/>
          <w:szCs w:val="32"/>
        </w:rPr>
      </w:pPr>
      <w:r>
        <w:rPr>
          <w:rFonts w:hint="eastAsia" w:ascii="黑体" w:hAnsi="黑体" w:eastAsia="黑体" w:cs="黑体"/>
          <w:color w:val="000000"/>
          <w:sz w:val="32"/>
          <w:szCs w:val="32"/>
        </w:rPr>
        <w:t>二、重点任务</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ascii="方正楷体_GBK" w:hAnsi="方正楷体_GBK" w:eastAsia="方正楷体_GBK" w:cs="方正楷体_GBK"/>
          <w:color w:val="000000"/>
          <w:sz w:val="32"/>
          <w:szCs w:val="32"/>
        </w:rPr>
      </w:pPr>
      <w:r>
        <w:rPr>
          <w:rFonts w:hint="eastAsia" w:ascii="楷体_GB2312" w:hAnsi="楷体_GB2312" w:eastAsia="楷体_GB2312" w:cs="楷体_GB2312"/>
          <w:b/>
          <w:bCs/>
          <w:color w:val="000000"/>
          <w:sz w:val="32"/>
          <w:szCs w:val="32"/>
        </w:rPr>
        <w:t>（一）落实管理体制。</w:t>
      </w:r>
      <w:r>
        <w:rPr>
          <w:rFonts w:hint="eastAsia" w:ascii="仿宋_GB2312" w:hAnsi="仿宋_GB2312" w:eastAsia="仿宋_GB2312" w:cs="仿宋_GB2312"/>
          <w:color w:val="000000"/>
          <w:sz w:val="32"/>
          <w:szCs w:val="32"/>
        </w:rPr>
        <w:t>（1）对省际产业合作园区建设，落实市负总责、开发区管委会具体负责管理的要求。（2）支持符合条件的省级以上开发区或开发区内合作共建的“区中园”积极申报省际产业合作园区。</w:t>
      </w:r>
      <w:r>
        <w:rPr>
          <w:rFonts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rPr>
        <w:t>各县、区人民政府，江南新兴产业集中区、市开发区管委会牵头；市发展改革委、市科技局、市商务局等按职能分工负责</w:t>
      </w:r>
      <w:r>
        <w:rPr>
          <w:rFonts w:ascii="楷体_GB2312" w:hAnsi="楷体_GB2312" w:eastAsia="楷体_GB2312" w:cs="楷体_GB2312"/>
          <w:color w:val="000000"/>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（二）推动改革创新。</w:t>
      </w:r>
      <w:r>
        <w:rPr>
          <w:rFonts w:hint="eastAsia" w:ascii="仿宋_GB2312" w:hAnsi="仿宋_GB2312" w:eastAsia="仿宋_GB2312" w:cs="仿宋_GB2312"/>
          <w:color w:val="000000"/>
          <w:sz w:val="32"/>
          <w:szCs w:val="32"/>
        </w:rPr>
        <w:t>（3）鼓励引导省际产业合作园区和其他开发区学习借鉴发达地区园区经验，探索建立高效灵活的“管委会＋平台公司”等运营模式。（4）支持省际产业合作园区和其他开发区与发达地区开展园中园、共管园、托管园以及“飞地”等合作，探索开辟“反向飞地”推动“双招双引”，创新运营管理、利益分享等机制，推动产业高质量承接合作和快速集聚。（5）修订市经开区绩效考核办法，激励开发区改革创新更大作为。</w:t>
      </w:r>
      <w:r>
        <w:rPr>
          <w:rFonts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rPr>
        <w:t>各县、区人民政府，江南新兴产业集中区、市开发区管委会牵头；市委编办、市投资促进局、市财政局、市税务局、市发展改革委、市经济和信息化局、市商务局、市统计局等按职能分工负责）</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（三）加快产业集聚。</w:t>
      </w:r>
      <w:r>
        <w:rPr>
          <w:rFonts w:hint="eastAsia" w:ascii="仿宋_GB2312" w:hAnsi="仿宋_GB2312" w:eastAsia="仿宋_GB2312" w:cs="仿宋_GB2312"/>
          <w:sz w:val="32"/>
          <w:szCs w:val="32"/>
        </w:rPr>
        <w:t>（6）省际产业合作园区和其他省级以上开发区要围绕市八大新兴产业发展，聚焦构建园区主导产业生态圈，制定实施方案，明确产业发展目标和路径、生产性服务业配套规模、公共服务平台和创新平台等服务需求，推动产业快速聚集、高质量发展。（7）支持省际产业合作园区公共服务平台建设，鼓励东部三区或主导产业契合的开发区合作共建公共服务平台，市发展改革、科技、经济和信息化、人力资源和社会保障、地方金融监管等部门对公共服务平台项目加大资金、技术保障等支持力度。（8）加快高新区争创国家级高新区步伐。（9）落实支持科技创新若干政策、推进制造业高质量发展若干政策等，</w:t>
      </w:r>
      <w:r>
        <w:rPr>
          <w:rFonts w:hint="eastAsia" w:ascii="仿宋_GB2312" w:hAnsi="仿宋_GB2312" w:eastAsia="仿宋_GB2312" w:cs="仿宋_GB2312"/>
          <w:sz w:val="32"/>
          <w:szCs w:val="32"/>
          <w:lang w:eastAsia="zh-CN"/>
        </w:rPr>
        <w:t>支持</w:t>
      </w:r>
      <w:r>
        <w:rPr>
          <w:rFonts w:hint="eastAsia" w:ascii="仿宋_GB2312" w:hAnsi="仿宋_GB2312" w:eastAsia="仿宋_GB2312" w:cs="仿宋_GB2312"/>
          <w:sz w:val="32"/>
          <w:szCs w:val="32"/>
        </w:rPr>
        <w:t>省际产业合作园区骨干企业</w:t>
      </w:r>
      <w:r>
        <w:rPr>
          <w:rFonts w:hint="eastAsia" w:ascii="仿宋_GB2312" w:hAnsi="仿宋_GB2312" w:eastAsia="仿宋_GB2312" w:cs="仿宋_GB2312"/>
          <w:sz w:val="32"/>
          <w:szCs w:val="32"/>
          <w:lang w:eastAsia="zh-CN"/>
        </w:rPr>
        <w:t>建立</w:t>
      </w:r>
      <w:r>
        <w:rPr>
          <w:rFonts w:hint="eastAsia" w:ascii="仿宋_GB2312" w:hAnsi="仿宋_GB2312" w:eastAsia="仿宋_GB2312" w:cs="仿宋_GB2312"/>
          <w:sz w:val="32"/>
          <w:szCs w:val="32"/>
        </w:rPr>
        <w:t>省工程（技术）研究中心、省企业技术中心等创新平台。（10）</w:t>
      </w:r>
      <w:r>
        <w:rPr>
          <w:rFonts w:hint="eastAsia" w:ascii="仿宋_GB2312" w:hAnsi="仿宋_GB2312" w:eastAsia="仿宋_GB2312" w:cs="仿宋_GB2312"/>
          <w:color w:val="000000"/>
          <w:sz w:val="32"/>
          <w:szCs w:val="32"/>
        </w:rPr>
        <w:t>对省外已认定的高新技术企业整体搬迁到我市的，有效期内不再重新认定，比照享受同等优惠政策。</w:t>
      </w:r>
      <w:r>
        <w:rPr>
          <w:rFonts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rPr>
        <w:t>各县、区人民政府，江南新兴产业集中区、市开发区管委会牵头；市投资促进局、市科技局、市发展改革委、市经济和信息化局、市税务局等按职能分工负责</w:t>
      </w:r>
      <w:r>
        <w:rPr>
          <w:rFonts w:ascii="楷体_GB2312" w:hAnsi="楷体_GB2312" w:eastAsia="楷体_GB2312" w:cs="楷体_GB2312"/>
          <w:color w:val="000000"/>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（四）强化项目支撑。</w:t>
      </w:r>
      <w:r>
        <w:rPr>
          <w:rFonts w:hint="eastAsia" w:ascii="仿宋_GB2312" w:hAnsi="仿宋_GB2312" w:eastAsia="仿宋_GB2312" w:cs="仿宋_GB2312"/>
          <w:color w:val="000000"/>
          <w:sz w:val="32"/>
          <w:szCs w:val="32"/>
        </w:rPr>
        <w:t>（11）</w:t>
      </w:r>
      <w:r>
        <w:rPr>
          <w:rFonts w:hint="eastAsia" w:ascii="仿宋_GB2312" w:hAnsi="仿宋_GB2312" w:eastAsia="仿宋_GB2312" w:cs="仿宋_GB2312"/>
          <w:sz w:val="32"/>
          <w:szCs w:val="32"/>
        </w:rPr>
        <w:t>省际产业合作园区和其他省级以上开发区要围绕构建产业生态圈，系统开展项目谋划，形成“四个一批”良性推进项目格局，市有关部门对符合条件的优质项目，积极对接纳入中央和省市各级各类规划，争取多方面支持。（12）积极支持江南新兴产业集中区文香智能教育装</w:t>
      </w:r>
      <w:r>
        <w:rPr>
          <w:rFonts w:hint="eastAsia" w:ascii="仿宋_GB2312" w:hAnsi="仿宋_GB2312" w:eastAsia="仿宋_GB2312" w:cs="仿宋_GB2312"/>
          <w:sz w:val="32"/>
          <w:szCs w:val="32"/>
          <w:lang w:eastAsia="zh-CN"/>
        </w:rPr>
        <w:t>备</w:t>
      </w:r>
      <w:r>
        <w:rPr>
          <w:rFonts w:hint="eastAsia" w:ascii="仿宋_GB2312" w:hAnsi="仿宋_GB2312" w:eastAsia="仿宋_GB2312" w:cs="仿宋_GB2312"/>
          <w:sz w:val="32"/>
          <w:szCs w:val="32"/>
        </w:rPr>
        <w:t>产业园等产业项目和骨干路网等基础设施重点项目纳入长三角一体化发展规划“十四五”实施方案。积极争取江南大数据中心纳入全国一体化大数据协同创新体系。（13）对省际产业合作园区需要协调的重大项目,纳入市政府重大项目专班调度，</w:t>
      </w:r>
      <w:r>
        <w:rPr>
          <w:rFonts w:hint="eastAsia" w:ascii="仿宋_GB2312" w:hAnsi="仿宋_GB2312" w:eastAsia="仿宋_GB2312" w:cs="仿宋_GB2312"/>
          <w:color w:val="000000"/>
          <w:sz w:val="32"/>
          <w:szCs w:val="32"/>
        </w:rPr>
        <w:t>聚焦</w:t>
      </w:r>
      <w:r>
        <w:rPr>
          <w:rFonts w:hint="eastAsia" w:ascii="仿宋_GB2312" w:hAnsi="仿宋_GB2312" w:eastAsia="仿宋_GB2312" w:cs="仿宋_GB2312"/>
          <w:sz w:val="32"/>
          <w:szCs w:val="32"/>
        </w:rPr>
        <w:t>关键节点抓突破，推动项目早日开工、早日投产。</w:t>
      </w:r>
      <w:r>
        <w:rPr>
          <w:rFonts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rPr>
        <w:t>各县、区人民政府，江南新兴产业集中区、市开发区管委会牵头；市发展改革委、市经济和信息化局、市科技局、市交通运输局、市水利局、市商务局、市生态环境局、市林业局、市自然资源和规划局等按职能分工负责</w:t>
      </w:r>
      <w:r>
        <w:rPr>
          <w:rFonts w:ascii="楷体_GB2312" w:hAnsi="楷体_GB2312" w:eastAsia="楷体_GB2312" w:cs="楷体_GB2312"/>
          <w:color w:val="000000"/>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（五）优化营商环境。</w:t>
      </w:r>
      <w:r>
        <w:rPr>
          <w:rFonts w:hint="eastAsia" w:ascii="仿宋_GB2312" w:hAnsi="仿宋_GB2312" w:eastAsia="仿宋_GB2312" w:cs="仿宋_GB2312"/>
          <w:sz w:val="32"/>
          <w:szCs w:val="32"/>
        </w:rPr>
        <w:t>（14）按照“应放尽放”的原则向省际产业合作园区下放审批管理权限。（15）省际产业合作园区对标沪苏浙发达园区，完善联系包保服务园区项目和企业机制，探索推行“主动上门预约、全程代办网办”服务，加强对“中介超市”第三方服务监管，不断提高服务效率和质量。</w:t>
      </w:r>
      <w:r>
        <w:rPr>
          <w:rFonts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rPr>
        <w:t>各县、区人民政府，江南新兴产业集中区、市开发区管委会牵头；市委编办、市经济和信息化局、市数据资源管理局，市市场监管局等按职能分工负责</w:t>
      </w:r>
      <w:r>
        <w:rPr>
          <w:rFonts w:ascii="楷体_GB2312" w:hAnsi="楷体_GB2312" w:eastAsia="楷体_GB2312" w:cs="楷体_GB2312"/>
          <w:color w:val="000000"/>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黑体" w:hAnsi="黑体" w:eastAsia="黑体" w:cs="黑体"/>
          <w:color w:val="000000"/>
          <w:sz w:val="32"/>
          <w:szCs w:val="32"/>
        </w:rPr>
      </w:pPr>
      <w:r>
        <w:rPr>
          <w:rFonts w:hint="eastAsia" w:ascii="黑体" w:hAnsi="黑体" w:eastAsia="黑体" w:cs="黑体"/>
          <w:color w:val="000000"/>
          <w:sz w:val="32"/>
          <w:szCs w:val="32"/>
        </w:rPr>
        <w:t>三、保障措施</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（六）落实财税支持。</w:t>
      </w:r>
      <w:r>
        <w:rPr>
          <w:rFonts w:hint="eastAsia" w:ascii="仿宋_GB2312" w:hAnsi="仿宋_GB2312" w:eastAsia="仿宋_GB2312" w:cs="仿宋_GB2312"/>
          <w:sz w:val="32"/>
          <w:szCs w:val="32"/>
        </w:rPr>
        <w:t>（16）对省</w:t>
      </w:r>
      <w:r>
        <w:rPr>
          <w:rFonts w:hint="eastAsia" w:ascii="仿宋_GB2312" w:hAnsi="仿宋_GB2312" w:eastAsia="仿宋_GB2312" w:cs="仿宋_GB2312"/>
          <w:color w:val="000000"/>
          <w:sz w:val="32"/>
          <w:szCs w:val="32"/>
        </w:rPr>
        <w:t>际产业合作园区符合条件的项目，积极支持申报长三角一体化发展中央预算内投资专项资金、亚投行基础设施贷款、地方政府专项债券和相关补助资金。（17）支持符合条件的园区基础设施项目申报REITs(不动产投资信托基金)试点。（18）落实减税降费政策措施。</w:t>
      </w:r>
      <w:r>
        <w:rPr>
          <w:rFonts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rPr>
        <w:t>江南新兴产业集中区管委会牵头，市发展改革委、市科技局、市经济和信息化局、市财政局、市税务局等按职能分工负责</w:t>
      </w:r>
      <w:r>
        <w:rPr>
          <w:rFonts w:ascii="楷体_GB2312" w:hAnsi="楷体_GB2312" w:eastAsia="楷体_GB2312" w:cs="楷体_GB2312"/>
          <w:color w:val="000000"/>
          <w:sz w:val="32"/>
          <w:szCs w:val="32"/>
        </w:rPr>
        <w:t>)</w:t>
      </w:r>
    </w:p>
    <w:p>
      <w:pPr>
        <w:pStyle w:val="2"/>
        <w:keepNext w:val="0"/>
        <w:keepLines w:val="0"/>
        <w:pageBreakBefore w:val="0"/>
        <w:widowControl w:val="0"/>
        <w:kinsoku/>
        <w:wordWrap/>
        <w:overflowPunct/>
        <w:topLinePunct w:val="0"/>
        <w:autoSpaceDE/>
        <w:autoSpaceDN/>
        <w:bidi w:val="0"/>
        <w:adjustRightInd/>
        <w:snapToGrid/>
        <w:spacing w:after="0" w:afterLines="0" w:line="600" w:lineRule="exact"/>
        <w:ind w:left="0" w:leftChars="0" w:firstLine="642" w:firstLineChars="200"/>
        <w:textAlignment w:val="auto"/>
        <w:rPr>
          <w:rFonts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（七）优化金融服务。</w:t>
      </w:r>
      <w:r>
        <w:rPr>
          <w:rFonts w:hint="eastAsia" w:ascii="仿宋_GB2312" w:hAnsi="仿宋_GB2312" w:eastAsia="仿宋_GB2312" w:cs="仿宋_GB2312"/>
          <w:color w:val="000000"/>
          <w:sz w:val="32"/>
          <w:szCs w:val="32"/>
        </w:rPr>
        <w:t>（19）深化与国家开发银行等金融机构对接合作，对省际产业合作园区重点项目投资和骨干企业融资需求支持纳入市政府与国开行战略合作推荐清单。（20）</w:t>
      </w:r>
      <w:r>
        <w:rPr>
          <w:rFonts w:hint="eastAsia" w:ascii="仿宋_GB2312" w:hAnsi="仿宋_GB2312" w:eastAsia="仿宋_GB2312" w:cs="仿宋_GB2312"/>
          <w:sz w:val="32"/>
          <w:szCs w:val="32"/>
        </w:rPr>
        <w:t>支持金融机构和中介服务机构在省际产业合作园区所属开发区设立分支机构。（21）支持江南新兴产业集中区“基金+产业园”模式“双招双引”，配合落实省市配套的新兴产业基金年度出资。</w:t>
      </w:r>
      <w:r>
        <w:rPr>
          <w:rFonts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rPr>
        <w:t>市地方金融监管局、市财政局、市发展改革委、人行池州市中心支行、池州银保监分局、池州建设投资集团、池州产业投资集团等按职能分工负责</w:t>
      </w:r>
      <w:r>
        <w:rPr>
          <w:rFonts w:ascii="楷体_GB2312" w:hAnsi="楷体_GB2312" w:eastAsia="楷体_GB2312" w:cs="楷体_GB2312"/>
          <w:color w:val="000000"/>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（八）加强用地用能保障。</w:t>
      </w:r>
      <w:r>
        <w:rPr>
          <w:rFonts w:hint="eastAsia" w:ascii="仿宋_GB2312" w:hAnsi="仿宋_GB2312" w:eastAsia="仿宋_GB2312" w:cs="仿宋_GB2312"/>
          <w:color w:val="000000"/>
          <w:sz w:val="32"/>
          <w:szCs w:val="32"/>
        </w:rPr>
        <w:t>（22）省际产业合作园区实施的重大项目，</w:t>
      </w:r>
      <w:r>
        <w:rPr>
          <w:rFonts w:hint="eastAsia" w:ascii="仿宋_GB2312" w:hAnsi="仿宋_GB2312" w:eastAsia="仿宋_GB2312" w:cs="仿宋_GB2312"/>
          <w:color w:val="000000"/>
          <w:sz w:val="32"/>
          <w:szCs w:val="32"/>
          <w:lang w:eastAsia="zh-CN"/>
        </w:rPr>
        <w:t>耕地占补平衡指标由项目所在地县区政府、管委会负责解决，县区政府、管委会确实无法解决的，由市政府在市域范围内统筹进行有偿调剂</w:t>
      </w:r>
      <w:r>
        <w:rPr>
          <w:rFonts w:hint="eastAsia" w:ascii="仿宋_GB2312" w:hAnsi="仿宋_GB2312" w:eastAsia="仿宋_GB2312" w:cs="仿宋_GB2312"/>
          <w:color w:val="000000"/>
          <w:sz w:val="32"/>
          <w:szCs w:val="32"/>
        </w:rPr>
        <w:t>，费用由项目属地政府、管委会按照有关规定落实。（23）鼓励石台县城乡建设用地增减挂钩节余指标优先支持省际产业合作园区重大项目建设。（24）鼓励新入园区企业与土地使用权权属企业合作，对具备土地独立分宗条件的工业物业产权进行分割并登记。支持采取创新产业用地分类、土地混合使用、提高产业用地土地利用效率、实行用地弹性出让、长期租赁、先租后让、租让结合供地等措施灵活用地，满足园区产业项目用地需求。（25）支持江南新兴产业集中区布局科创园中园，作为承载长三角科创类反向飞地的空间，给予科创园产城融合服务功能用地方面支持。（26）积极争取省际产业合作园区优质重大项目用能省级调配支持。</w:t>
      </w:r>
      <w:r>
        <w:rPr>
          <w:rFonts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rPr>
        <w:t>市自然资源和规划局、市发展改革委按职能分工负责</w:t>
      </w:r>
      <w:r>
        <w:rPr>
          <w:rFonts w:ascii="楷体_GB2312" w:hAnsi="楷体_GB2312" w:eastAsia="楷体_GB2312" w:cs="楷体_GB2312"/>
          <w:color w:val="000000"/>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ascii="楷体_GB2312" w:hAnsi="楷体_GB2312" w:eastAsia="楷体_GB2312" w:cs="楷体_GB2312"/>
          <w:color w:val="000000"/>
          <w:sz w:val="32"/>
          <w:szCs w:val="32"/>
        </w:rPr>
      </w:pPr>
      <w:r>
        <w:rPr>
          <w:rFonts w:hint="eastAsia" w:ascii="楷体_GB2312" w:hAnsi="楷体_GB2312" w:eastAsia="楷体_GB2312" w:cs="楷体_GB2312"/>
          <w:b/>
          <w:bCs/>
          <w:color w:val="000000"/>
          <w:sz w:val="32"/>
          <w:szCs w:val="32"/>
        </w:rPr>
        <w:t>（九）加强人才保障。</w:t>
      </w:r>
      <w:r>
        <w:rPr>
          <w:rFonts w:hint="eastAsia" w:ascii="仿宋_GB2312" w:hAnsi="仿宋_GB2312" w:eastAsia="仿宋_GB2312" w:cs="仿宋_GB2312"/>
          <w:color w:val="000000"/>
          <w:sz w:val="32"/>
          <w:szCs w:val="32"/>
        </w:rPr>
        <w:t>（27）鼓励提高省际产业合作园区内企业培养重点行业紧缺高技能人才补助标准。（28）支持省际产业合作园区和其他省级以上开发区与沪苏浙对口开展干部人才双向交流，选派干部参与跟班学习、实践锻炼。（29）鼓励在长三角地区设立“人才飞地”“创新飞地”，共建人才培养基地。</w:t>
      </w:r>
      <w:r>
        <w:rPr>
          <w:rFonts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rPr>
        <w:t>市委组织部、市人力资源社会保障局、市科技局等按职能分工负责</w:t>
      </w:r>
      <w:r>
        <w:rPr>
          <w:rFonts w:ascii="楷体_GB2312" w:hAnsi="楷体_GB2312" w:eastAsia="楷体_GB2312" w:cs="楷体_GB2312"/>
          <w:color w:val="000000"/>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ascii="仿宋_GB2312" w:hAnsi="仿宋_GB2312" w:eastAsia="仿宋_GB2312" w:cs="仿宋_GB2312"/>
          <w:color w:val="000000"/>
          <w:sz w:val="32"/>
          <w:szCs w:val="32"/>
        </w:rPr>
      </w:pPr>
      <w:r>
        <w:rPr>
          <w:rFonts w:hint="eastAsia" w:ascii="楷体_GB2312" w:hAnsi="楷体_GB2312" w:eastAsia="楷体_GB2312" w:cs="楷体_GB2312"/>
          <w:b/>
          <w:bCs/>
          <w:color w:val="000000"/>
          <w:sz w:val="32"/>
          <w:szCs w:val="32"/>
        </w:rPr>
        <w:t>（十）强化组织落实。</w:t>
      </w:r>
      <w:r>
        <w:rPr>
          <w:rFonts w:hint="eastAsia" w:ascii="仿宋_GB2312" w:hAnsi="仿宋_GB2312" w:eastAsia="仿宋_GB2312" w:cs="仿宋_GB2312"/>
          <w:color w:val="000000"/>
          <w:sz w:val="32"/>
          <w:szCs w:val="32"/>
        </w:rPr>
        <w:t>（</w:t>
      </w:r>
      <w:r>
        <w:rPr>
          <w:rFonts w:ascii="仿宋_GB2312" w:hAnsi="仿宋_GB2312" w:eastAsia="仿宋_GB2312" w:cs="仿宋_GB2312"/>
          <w:color w:val="000000"/>
          <w:sz w:val="32"/>
          <w:szCs w:val="32"/>
        </w:rPr>
        <w:t>30</w:t>
      </w:r>
      <w:r>
        <w:rPr>
          <w:rFonts w:hint="eastAsia" w:ascii="仿宋_GB2312" w:hAnsi="仿宋_GB2312" w:eastAsia="仿宋_GB2312" w:cs="仿宋_GB2312"/>
          <w:color w:val="000000"/>
          <w:sz w:val="32"/>
          <w:szCs w:val="32"/>
        </w:rPr>
        <w:t>）市推动长三角一体化发展领导小组办公室负责省际产业合作园区建设市级层面统筹协调，市直有关部门按照职责分工主动靠前服务，加强业务指导；各县区政府、管委会要压实主体责任，认真落实实施方案重点任务和政策措施，推动省际产业合作园区和开发区高质量发展。</w:t>
      </w:r>
      <w:r>
        <w:rPr>
          <w:rFonts w:ascii="楷体_GB2312" w:hAnsi="楷体_GB2312" w:eastAsia="楷体_GB2312" w:cs="楷体_GB2312"/>
          <w:color w:val="000000"/>
          <w:sz w:val="32"/>
          <w:szCs w:val="32"/>
        </w:rPr>
        <w:t>(</w:t>
      </w:r>
      <w:r>
        <w:rPr>
          <w:rFonts w:hint="eastAsia" w:ascii="楷体_GB2312" w:hAnsi="楷体_GB2312" w:eastAsia="楷体_GB2312" w:cs="楷体_GB2312"/>
          <w:color w:val="000000"/>
          <w:sz w:val="32"/>
          <w:szCs w:val="32"/>
        </w:rPr>
        <w:t>各县区政府、管委会，市有关单位按职能分工负责</w:t>
      </w:r>
      <w:r>
        <w:rPr>
          <w:rFonts w:ascii="楷体_GB2312" w:hAnsi="楷体_GB2312" w:eastAsia="楷体_GB2312" w:cs="楷体_GB2312"/>
          <w:color w:val="000000"/>
          <w:sz w:val="32"/>
          <w:szCs w:val="32"/>
        </w:rPr>
        <w:t>)</w:t>
      </w:r>
    </w:p>
    <w:p>
      <w:pPr>
        <w:pStyle w:val="2"/>
      </w:pP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tbl>
      <w:tblPr>
        <w:tblStyle w:val="5"/>
        <w:tblpPr w:leftFromText="180" w:rightFromText="180" w:vertAnchor="text" w:horzAnchor="page" w:tblpX="1765" w:tblpY="2989"/>
        <w:tblOverlap w:val="never"/>
        <w:tblW w:w="8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8600" w:type="dxa"/>
            <w:tcBorders>
              <w:left w:val="nil"/>
              <w:right w:val="nil"/>
            </w:tcBorders>
            <w:vAlign w:val="center"/>
          </w:tcPr>
          <w:p>
            <w:pPr>
              <w:rPr>
                <w:rFonts w:hint="default" w:ascii="Times New Roman" w:hAnsi="Times New Roman" w:eastAsia="仿宋_GB2312" w:cs="Times New Roman"/>
                <w:sz w:val="28"/>
                <w:szCs w:val="28"/>
              </w:rPr>
            </w:pPr>
            <w:r>
              <w:rPr>
                <w:rFonts w:hint="default" w:ascii="Times New Roman" w:hAnsi="Times New Roman" w:eastAsia="仿宋_GB2312" w:cs="Times New Roman"/>
              </w:rPr>
              <w:t xml:space="preserve"> </w:t>
            </w:r>
            <w:r>
              <w:rPr>
                <w:rFonts w:hint="default" w:ascii="Times New Roman" w:hAnsi="Times New Roman" w:eastAsia="仿宋_GB2312" w:cs="Times New Roman"/>
                <w:spacing w:val="-17"/>
                <w:w w:val="100"/>
                <w:kern w:val="0"/>
                <w:sz w:val="28"/>
                <w:szCs w:val="28"/>
              </w:rPr>
              <w:t>池州市推动长三角区域一体化发展领导小组办公室</w:t>
            </w:r>
            <w:r>
              <w:rPr>
                <w:rFonts w:hint="eastAsia" w:ascii="Times New Roman" w:hAnsi="Times New Roman" w:eastAsia="仿宋_GB2312" w:cs="Times New Roman"/>
                <w:spacing w:val="-17"/>
                <w:w w:val="100"/>
                <w:kern w:val="0"/>
                <w:sz w:val="28"/>
                <w:szCs w:val="28"/>
                <w:lang w:val="en-US" w:eastAsia="zh-CN"/>
              </w:rPr>
              <w:t xml:space="preserve">  </w:t>
            </w:r>
            <w:r>
              <w:rPr>
                <w:rFonts w:hint="default" w:ascii="Times New Roman" w:hAnsi="Times New Roman" w:eastAsia="仿宋_GB2312" w:cs="Times New Roman"/>
                <w:spacing w:val="-17"/>
                <w:w w:val="100"/>
                <w:kern w:val="0"/>
                <w:sz w:val="28"/>
                <w:szCs w:val="28"/>
              </w:rPr>
              <w:t xml:space="preserve"> 202</w:t>
            </w:r>
            <w:r>
              <w:rPr>
                <w:rFonts w:hint="eastAsia" w:ascii="Times New Roman" w:hAnsi="Times New Roman" w:eastAsia="仿宋_GB2312" w:cs="Times New Roman"/>
                <w:spacing w:val="-17"/>
                <w:w w:val="100"/>
                <w:kern w:val="0"/>
                <w:sz w:val="28"/>
                <w:szCs w:val="28"/>
                <w:lang w:val="en-US" w:eastAsia="zh-CN"/>
              </w:rPr>
              <w:t>1</w:t>
            </w:r>
            <w:r>
              <w:rPr>
                <w:rFonts w:hint="default" w:ascii="Times New Roman" w:hAnsi="Times New Roman" w:eastAsia="仿宋_GB2312" w:cs="Times New Roman"/>
                <w:spacing w:val="-17"/>
                <w:w w:val="100"/>
                <w:kern w:val="0"/>
                <w:sz w:val="28"/>
                <w:szCs w:val="28"/>
              </w:rPr>
              <w:t>年</w:t>
            </w:r>
            <w:r>
              <w:rPr>
                <w:rFonts w:hint="eastAsia" w:ascii="Times New Roman" w:hAnsi="Times New Roman" w:eastAsia="仿宋_GB2312" w:cs="Times New Roman"/>
                <w:spacing w:val="-17"/>
                <w:w w:val="100"/>
                <w:kern w:val="0"/>
                <w:sz w:val="28"/>
                <w:szCs w:val="28"/>
                <w:lang w:val="en-US" w:eastAsia="zh-CN"/>
              </w:rPr>
              <w:t>8</w:t>
            </w:r>
            <w:r>
              <w:rPr>
                <w:rFonts w:hint="default" w:ascii="Times New Roman" w:hAnsi="Times New Roman" w:eastAsia="仿宋_GB2312" w:cs="Times New Roman"/>
                <w:spacing w:val="-17"/>
                <w:w w:val="100"/>
                <w:kern w:val="0"/>
                <w:sz w:val="28"/>
                <w:szCs w:val="28"/>
              </w:rPr>
              <w:t>月</w:t>
            </w:r>
            <w:r>
              <w:rPr>
                <w:rFonts w:hint="eastAsia" w:ascii="Times New Roman" w:hAnsi="Times New Roman" w:eastAsia="仿宋_GB2312" w:cs="Times New Roman"/>
                <w:spacing w:val="-17"/>
                <w:w w:val="100"/>
                <w:kern w:val="0"/>
                <w:sz w:val="28"/>
                <w:szCs w:val="28"/>
                <w:lang w:val="en-US" w:eastAsia="zh-CN"/>
              </w:rPr>
              <w:t>30</w:t>
            </w:r>
            <w:r>
              <w:rPr>
                <w:rFonts w:hint="default" w:ascii="Times New Roman" w:hAnsi="Times New Roman" w:eastAsia="仿宋_GB2312" w:cs="Times New Roman"/>
                <w:spacing w:val="-17"/>
                <w:w w:val="100"/>
                <w:kern w:val="0"/>
                <w:sz w:val="28"/>
                <w:szCs w:val="28"/>
              </w:rPr>
              <w:t>日印发</w:t>
            </w:r>
          </w:p>
        </w:tc>
      </w:tr>
    </w:tbl>
    <w:p>
      <w:pPr>
        <w:pStyle w:val="2"/>
      </w:pPr>
    </w:p>
    <w:p/>
    <w:sectPr>
      <w:footerReference r:id="rId3" w:type="default"/>
      <w:pgSz w:w="11906" w:h="16838"/>
      <w:pgMar w:top="1701" w:right="1587" w:bottom="1587" w:left="1587" w:header="851" w:footer="133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楷体_GBK">
    <w:panose1 w:val="02000000000000000000"/>
    <w:charset w:val="86"/>
    <w:family w:val="script"/>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240030" cy="37211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240030" cy="372110"/>
                      </a:xfrm>
                      <a:prstGeom prst="rect">
                        <a:avLst/>
                      </a:prstGeom>
                      <a:noFill/>
                      <a:ln w="6350">
                        <a:noFill/>
                      </a:ln>
                    </wps:spPr>
                    <wps:txbx>
                      <w:txbxContent>
                        <w:p>
                          <w:pPr>
                            <w:pStyle w:val="4"/>
                            <w:rPr>
                              <w:rFonts w:hint="eastAsia" w:eastAsia="宋体"/>
                              <w:lang w:val="en-US" w:eastAsia="zh-CN"/>
                            </w:rPr>
                          </w:pP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- 14 -</w:t>
                          </w:r>
                          <w:r>
                            <w:rPr>
                              <w:rFonts w:hint="default" w:ascii="Times New Roman" w:hAnsi="Times New Roman" w:cs="Times New Roman"/>
                              <w:sz w:val="28"/>
                              <w:szCs w:val="28"/>
                            </w:rPr>
                            <w:fldChar w:fldCharType="end"/>
                          </w:r>
                          <w:r>
                            <w:rPr>
                              <w:rFonts w:hint="eastAsia" w:ascii="Times New Roman" w:hAnsi="Times New Roman" w:cs="Times New Roman"/>
                              <w:sz w:val="28"/>
                              <w:szCs w:val="28"/>
                              <w:lang w:val="en-US" w:eastAsia="zh-CN"/>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29.3pt;width:18.9pt;mso-position-horizontal:outside;mso-position-horizontal-relative:margin;mso-wrap-style:none;z-index:251658240;mso-width-relative:page;mso-height-relative:page;" filled="f" stroked="f" coordsize="21600,21600" o:gfxdata="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WAAAAZHJzL1BLAQIUABQAAAAIAIdO4kAvaBg10gAAAAMBAAAPAAAAAAAAAAEAIAAAADgA&#10;AABkcnMvZG93bnJldi54bWxQSwECFAAUAAAACACHTuJAf6PHdMABAABZAwAADgAAAAAAAAABACAA&#10;AAA3AQAAZHJzL2Uyb0RvYy54bWxQSwUGAAAAAAYABgBZAQAAaQUAAAAA&#10;">
              <v:fill on="f" focussize="0,0"/>
              <v:stroke on="f" weight="0.5pt"/>
              <v:imagedata o:title=""/>
              <o:lock v:ext="edit" aspectratio="f"/>
              <v:textbox inset="0mm,0mm,0mm,0mm" style="mso-fit-shape-to-text:t;">
                <w:txbxContent>
                  <w:p>
                    <w:pPr>
                      <w:pStyle w:val="4"/>
                      <w:rPr>
                        <w:rFonts w:hint="eastAsia" w:eastAsia="宋体"/>
                        <w:lang w:val="en-US" w:eastAsia="zh-CN"/>
                      </w:rPr>
                    </w:pP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- 14 -</w:t>
                    </w:r>
                    <w:r>
                      <w:rPr>
                        <w:rFonts w:hint="default" w:ascii="Times New Roman" w:hAnsi="Times New Roman" w:cs="Times New Roman"/>
                        <w:sz w:val="28"/>
                        <w:szCs w:val="28"/>
                      </w:rPr>
                      <w:fldChar w:fldCharType="end"/>
                    </w:r>
                    <w:r>
                      <w:rPr>
                        <w:rFonts w:hint="eastAsia" w:ascii="Times New Roman" w:hAnsi="Times New Roman" w:cs="Times New Roman"/>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5E7C8E"/>
    <w:rsid w:val="485E7C8E"/>
    <w:rsid w:val="FFDB2E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unhideWhenUsed/>
    <w:qFormat/>
    <w:uiPriority w:val="0"/>
    <w:pPr>
      <w:spacing w:before="100" w:beforeAutospacing="1" w:after="10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unhideWhenUsed/>
    <w:qFormat/>
    <w:uiPriority w:val="99"/>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rPr>
  </w:style>
  <w:style w:type="character" w:customStyle="1" w:styleId="7">
    <w:name w:val="NormalCharacter"/>
    <w:semiHidden/>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3189</Words>
  <Characters>3245</Characters>
  <Lines>0</Lines>
  <Paragraphs>0</Paragraphs>
  <TotalTime>2</TotalTime>
  <ScaleCrop>false</ScaleCrop>
  <LinksUpToDate>false</LinksUpToDate>
  <CharactersWithSpaces>3263</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2022-11-09T15:05:00Z</dcterms:created>
  <dc:creator>徐淑婷</dc:creator>
  <cp:lastModifiedBy>sugon</cp:lastModifiedBy>
  <dcterms:modified xsi:type="dcterms:W3CDTF">2024-08-15T15:46:01Z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